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F26" w:rsidRDefault="008E3F26" w:rsidP="00D56CB8">
      <w:pPr>
        <w:jc w:val="center"/>
        <w:rPr>
          <w:rFonts w:cs="Times New Roman"/>
          <w:b/>
          <w:bCs/>
          <w:color w:val="231F20"/>
          <w:szCs w:val="24"/>
        </w:rPr>
      </w:pPr>
      <w:r w:rsidRPr="00D56CB8">
        <w:rPr>
          <w:b/>
          <w:bCs/>
          <w:szCs w:val="24"/>
        </w:rPr>
        <w:t>β</w:t>
      </w:r>
      <w:r w:rsidRPr="00D56CB8">
        <w:rPr>
          <w:szCs w:val="24"/>
        </w:rPr>
        <w:t>-</w:t>
      </w:r>
      <w:proofErr w:type="spellStart"/>
      <w:r w:rsidRPr="00D56CB8">
        <w:rPr>
          <w:rFonts w:cs="Times New Roman"/>
          <w:b/>
          <w:bCs/>
          <w:color w:val="231F20"/>
          <w:szCs w:val="24"/>
        </w:rPr>
        <w:t>cyclodextrin</w:t>
      </w:r>
      <w:proofErr w:type="spellEnd"/>
      <w:r w:rsidRPr="00D56CB8">
        <w:rPr>
          <w:rFonts w:cs="Times New Roman"/>
          <w:b/>
          <w:bCs/>
          <w:color w:val="231F20"/>
          <w:szCs w:val="24"/>
        </w:rPr>
        <w:t xml:space="preserve">: </w:t>
      </w:r>
      <w:proofErr w:type="spellStart"/>
      <w:r w:rsidRPr="00D56CB8">
        <w:rPr>
          <w:rFonts w:cs="Times New Roman"/>
          <w:b/>
          <w:bCs/>
          <w:color w:val="231F20"/>
          <w:szCs w:val="24"/>
        </w:rPr>
        <w:t>rosmarinic</w:t>
      </w:r>
      <w:proofErr w:type="spellEnd"/>
      <w:r w:rsidRPr="00D56CB8">
        <w:rPr>
          <w:rFonts w:cs="Times New Roman"/>
          <w:b/>
          <w:bCs/>
          <w:color w:val="231F20"/>
          <w:szCs w:val="24"/>
        </w:rPr>
        <w:t xml:space="preserve"> acid</w:t>
      </w:r>
      <w:r w:rsidRPr="00D56CB8">
        <w:rPr>
          <w:szCs w:val="24"/>
        </w:rPr>
        <w:t xml:space="preserve"> </w:t>
      </w:r>
      <w:r w:rsidRPr="00D56CB8">
        <w:rPr>
          <w:rFonts w:cs="Times New Roman"/>
          <w:b/>
          <w:bCs/>
          <w:color w:val="231F20"/>
          <w:szCs w:val="24"/>
        </w:rPr>
        <w:t>inclusion complex: A detail molecular modeling, thermodynamic and spectroscopic study</w:t>
      </w:r>
    </w:p>
    <w:p w:rsidR="00BB759D" w:rsidRPr="00D56CB8" w:rsidRDefault="00BB759D" w:rsidP="00D56CB8">
      <w:pPr>
        <w:jc w:val="center"/>
        <w:rPr>
          <w:rFonts w:cs="Times New Roman"/>
          <w:b/>
          <w:bCs/>
          <w:color w:val="231F20"/>
          <w:szCs w:val="24"/>
        </w:rPr>
      </w:pPr>
    </w:p>
    <w:p w:rsidR="008E3F26" w:rsidRDefault="008E3F26" w:rsidP="00BB759D">
      <w:pPr>
        <w:bidi w:val="0"/>
      </w:pPr>
      <w:r w:rsidRPr="00CD439E">
        <w:rPr>
          <w:b/>
          <w:bCs/>
        </w:rPr>
        <w:t>Authors:</w:t>
      </w:r>
      <w:r w:rsidR="00D56CB8">
        <w:t xml:space="preserve"> </w:t>
      </w:r>
      <w:bookmarkStart w:id="0" w:name="_GoBack"/>
      <w:r w:rsidR="00D56CB8" w:rsidRPr="00BB3E8F">
        <w:rPr>
          <w:u w:val="single"/>
        </w:rPr>
        <w:t xml:space="preserve">F. </w:t>
      </w:r>
      <w:proofErr w:type="spellStart"/>
      <w:proofErr w:type="gramStart"/>
      <w:r w:rsidR="00D56CB8" w:rsidRPr="00BB3E8F">
        <w:rPr>
          <w:u w:val="single"/>
        </w:rPr>
        <w:t>Fatemin</w:t>
      </w:r>
      <w:r w:rsidRPr="00BB3E8F">
        <w:rPr>
          <w:u w:val="single"/>
        </w:rPr>
        <w:t>asab</w:t>
      </w:r>
      <w:r w:rsidRPr="00BB3E8F">
        <w:rPr>
          <w:u w:val="single"/>
          <w:vertAlign w:val="superscript"/>
        </w:rPr>
        <w:t>a,b</w:t>
      </w:r>
      <w:proofErr w:type="spellEnd"/>
      <w:proofErr w:type="gramEnd"/>
      <w:r w:rsidRPr="00BB3E8F">
        <w:rPr>
          <w:u w:val="single"/>
        </w:rPr>
        <w:t>,</w:t>
      </w:r>
      <w:bookmarkEnd w:id="0"/>
      <w:r>
        <w:t xml:space="preserve"> </w:t>
      </w:r>
      <w:r w:rsidR="00BB759D">
        <w:t xml:space="preserve">A. K. </w:t>
      </w:r>
      <w:proofErr w:type="spellStart"/>
      <w:r w:rsidR="00BB759D">
        <w:t>Bordbar</w:t>
      </w:r>
      <w:proofErr w:type="spellEnd"/>
      <w:r w:rsidR="00BB759D" w:rsidRPr="00BB759D">
        <w:rPr>
          <w:vertAlign w:val="superscript"/>
        </w:rPr>
        <w:t xml:space="preserve"> </w:t>
      </w:r>
      <w:r w:rsidR="00BB759D" w:rsidRPr="008E3F26">
        <w:rPr>
          <w:vertAlign w:val="superscript"/>
        </w:rPr>
        <w:t>a</w:t>
      </w:r>
      <w:r w:rsidR="00BB759D">
        <w:rPr>
          <w:vertAlign w:val="superscript"/>
        </w:rPr>
        <w:t>,*</w:t>
      </w:r>
      <w:r w:rsidR="00BB759D">
        <w:t xml:space="preserve"> and </w:t>
      </w:r>
      <w:r>
        <w:t xml:space="preserve">A. A </w:t>
      </w:r>
      <w:proofErr w:type="spellStart"/>
      <w:r>
        <w:t>Saboury</w:t>
      </w:r>
      <w:proofErr w:type="spellEnd"/>
      <w:r w:rsidR="00BB759D" w:rsidRPr="00BB759D">
        <w:rPr>
          <w:vertAlign w:val="superscript"/>
        </w:rPr>
        <w:t xml:space="preserve"> </w:t>
      </w:r>
      <w:r w:rsidR="00BB759D" w:rsidRPr="008E3F26">
        <w:rPr>
          <w:vertAlign w:val="superscript"/>
        </w:rPr>
        <w:t>b</w:t>
      </w:r>
      <w:r w:rsidR="00BB759D">
        <w:t xml:space="preserve"> </w:t>
      </w:r>
    </w:p>
    <w:p w:rsidR="008E3F26" w:rsidRDefault="008E3F26" w:rsidP="00BB759D">
      <w:pPr>
        <w:bidi w:val="0"/>
        <w:rPr>
          <w:rFonts w:cs="Times New Roman"/>
          <w:color w:val="231F20"/>
          <w:szCs w:val="24"/>
        </w:rPr>
      </w:pPr>
      <w:r w:rsidRPr="00CD439E">
        <w:rPr>
          <w:rFonts w:cs="Times New Roman"/>
          <w:b/>
          <w:bCs/>
          <w:color w:val="231F20"/>
          <w:szCs w:val="24"/>
        </w:rPr>
        <w:t>Address:</w:t>
      </w:r>
      <w:r w:rsidRPr="00CD439E">
        <w:rPr>
          <w:rFonts w:cs="Times New Roman"/>
          <w:color w:val="231F20"/>
          <w:szCs w:val="24"/>
        </w:rPr>
        <w:t xml:space="preserve"> </w:t>
      </w:r>
      <w:r w:rsidR="00D56CB8" w:rsidRPr="00D56CB8">
        <w:rPr>
          <w:rFonts w:cs="Times New Roman"/>
          <w:color w:val="231F20"/>
          <w:szCs w:val="24"/>
          <w:vertAlign w:val="superscript"/>
        </w:rPr>
        <w:t>a</w:t>
      </w:r>
      <w:r w:rsidR="00D56CB8">
        <w:rPr>
          <w:rFonts w:cs="Times New Roman"/>
          <w:color w:val="231F20"/>
          <w:szCs w:val="24"/>
          <w:vertAlign w:val="superscript"/>
        </w:rPr>
        <w:t>,</w:t>
      </w:r>
      <w:r w:rsidR="00D56CB8">
        <w:rPr>
          <w:rFonts w:cs="Times New Roman"/>
          <w:color w:val="231F20"/>
          <w:szCs w:val="24"/>
        </w:rPr>
        <w:t xml:space="preserve"> </w:t>
      </w:r>
      <w:r w:rsidR="00BB759D" w:rsidRPr="00CD439E">
        <w:rPr>
          <w:rFonts w:cs="Times New Roman"/>
          <w:color w:val="231F20"/>
          <w:szCs w:val="24"/>
        </w:rPr>
        <w:t>Department of Chemistry, University of Isfahan, Isfahan, Iran</w:t>
      </w:r>
      <w:r w:rsidR="00BB759D">
        <w:rPr>
          <w:rStyle w:val="fontstyle01"/>
        </w:rPr>
        <w:t xml:space="preserve"> </w:t>
      </w:r>
    </w:p>
    <w:p w:rsidR="008E3F26" w:rsidRDefault="008E3F26" w:rsidP="00BB759D">
      <w:pPr>
        <w:bidi w:val="0"/>
        <w:rPr>
          <w:rFonts w:cs="Times New Roman"/>
          <w:color w:val="231F20"/>
          <w:szCs w:val="24"/>
        </w:rPr>
      </w:pPr>
      <w:r w:rsidRPr="00CD439E">
        <w:rPr>
          <w:rFonts w:cs="Times New Roman"/>
          <w:b/>
          <w:bCs/>
          <w:color w:val="231F20"/>
          <w:szCs w:val="24"/>
        </w:rPr>
        <w:t>Address</w:t>
      </w:r>
      <w:r>
        <w:rPr>
          <w:rFonts w:cs="Times New Roman"/>
          <w:color w:val="231F20"/>
          <w:szCs w:val="24"/>
        </w:rPr>
        <w:t xml:space="preserve">: </w:t>
      </w:r>
      <w:r w:rsidR="00D56CB8" w:rsidRPr="00D56CB8">
        <w:rPr>
          <w:rFonts w:cs="Times New Roman"/>
          <w:color w:val="231F20"/>
          <w:szCs w:val="24"/>
          <w:vertAlign w:val="superscript"/>
        </w:rPr>
        <w:t>b,</w:t>
      </w:r>
      <w:r w:rsidR="00D56CB8">
        <w:rPr>
          <w:rFonts w:cs="Times New Roman"/>
          <w:color w:val="231F20"/>
          <w:szCs w:val="24"/>
        </w:rPr>
        <w:t xml:space="preserve"> </w:t>
      </w:r>
      <w:r w:rsidR="00BB759D">
        <w:rPr>
          <w:rStyle w:val="fontstyle01"/>
        </w:rPr>
        <w:t>Institute of biochemistry and biophysics, University of Tehran, Tehran</w:t>
      </w:r>
    </w:p>
    <w:p w:rsidR="00D56CB8" w:rsidRDefault="00D56CB8" w:rsidP="00D56CB8">
      <w:pPr>
        <w:bidi w:val="0"/>
        <w:rPr>
          <w:rFonts w:cs="Times New Roman"/>
          <w:color w:val="231F20"/>
          <w:szCs w:val="24"/>
        </w:rPr>
      </w:pPr>
    </w:p>
    <w:p w:rsidR="00D56CB8" w:rsidRPr="009E42A3" w:rsidRDefault="00D56CB8" w:rsidP="00D56CB8">
      <w:pPr>
        <w:pStyle w:val="Heading2"/>
        <w:bidi w:val="0"/>
        <w:spacing w:line="360" w:lineRule="auto"/>
      </w:pPr>
      <w:r w:rsidRPr="009E42A3">
        <w:t>Abstract</w:t>
      </w:r>
    </w:p>
    <w:p w:rsidR="00CA3907" w:rsidRDefault="00111690" w:rsidP="00CA3907">
      <w:pPr>
        <w:bidi w:val="0"/>
        <w:spacing w:line="360" w:lineRule="auto"/>
        <w:rPr>
          <w:rStyle w:val="alt-edited"/>
          <w:lang w:val="en"/>
        </w:rPr>
      </w:pPr>
      <w:r>
        <w:rPr>
          <w:rStyle w:val="topic-highlight"/>
        </w:rPr>
        <w:t>Rosmarinic acid</w:t>
      </w:r>
      <w:r>
        <w:t xml:space="preserve"> (RA) </w:t>
      </w:r>
      <w:r w:rsidR="00CA3907">
        <w:t>is a phenolic compound</w:t>
      </w:r>
      <w:r>
        <w:t xml:space="preserve">. It </w:t>
      </w:r>
      <w:r w:rsidRPr="00991FD6">
        <w:t xml:space="preserve">has </w:t>
      </w:r>
      <w:r>
        <w:t>a varieties of biological activities including antioxidant, anti-inflammatory, antimicrobial</w:t>
      </w:r>
      <w:r w:rsidR="00CA3907">
        <w:t xml:space="preserve"> </w:t>
      </w:r>
      <w:r>
        <w:t>applications.</w:t>
      </w:r>
      <w:r w:rsidR="00CA3907" w:rsidRPr="00CA3907">
        <w:rPr>
          <w:rStyle w:val="alt-edited"/>
          <w:lang w:val="en"/>
        </w:rPr>
        <w:t xml:space="preserve"> </w:t>
      </w:r>
      <w:r w:rsidR="00CA3907">
        <w:rPr>
          <w:rStyle w:val="alt-edited"/>
          <w:lang w:val="en"/>
        </w:rPr>
        <w:t xml:space="preserve">The improvement of solubility and stability accompanying with conservation of antioxidant activity of RA could be taken the advantages of this </w:t>
      </w:r>
      <w:proofErr w:type="spellStart"/>
      <w:r w:rsidR="00CA3907">
        <w:rPr>
          <w:rStyle w:val="alt-edited"/>
          <w:lang w:val="en"/>
        </w:rPr>
        <w:t>nano</w:t>
      </w:r>
      <w:proofErr w:type="spellEnd"/>
      <w:r w:rsidR="00CA3907">
        <w:rPr>
          <w:rStyle w:val="alt-edited"/>
        </w:rPr>
        <w:t>-</w:t>
      </w:r>
      <w:r w:rsidR="00CA3907">
        <w:rPr>
          <w:rStyle w:val="alt-edited"/>
          <w:lang w:val="en"/>
        </w:rPr>
        <w:t>carrier in food and pharmaceutical applications.</w:t>
      </w:r>
    </w:p>
    <w:p w:rsidR="00111690" w:rsidRDefault="00CA3907" w:rsidP="00CA3907">
      <w:pPr>
        <w:bidi w:val="0"/>
        <w:spacing w:line="360" w:lineRule="auto"/>
      </w:pPr>
      <w:proofErr w:type="spellStart"/>
      <w:r>
        <w:rPr>
          <w:rStyle w:val="fontstyle01"/>
        </w:rPr>
        <w:t>Cyclodextrins</w:t>
      </w:r>
      <w:proofErr w:type="spellEnd"/>
      <w:r>
        <w:rPr>
          <w:rStyle w:val="fontstyle01"/>
        </w:rPr>
        <w:t xml:space="preserve"> (CDs) are family of cyclic oligosaccharides with doughnut-shape structure. Native CDs, containing of linked 6,7 and 8 D-glucopyranose units by α-(1→4)</w:t>
      </w:r>
      <w:r>
        <w:rPr>
          <w:rFonts w:ascii="TimesNewRomanPSMT" w:hAnsi="TimesNewRomanPSMT"/>
          <w:color w:val="000000"/>
        </w:rPr>
        <w:t xml:space="preserve"> </w:t>
      </w:r>
      <w:proofErr w:type="spellStart"/>
      <w:r>
        <w:rPr>
          <w:rStyle w:val="fontstyle01"/>
        </w:rPr>
        <w:t>glycosidic</w:t>
      </w:r>
      <w:proofErr w:type="spellEnd"/>
      <w:r>
        <w:rPr>
          <w:rStyle w:val="fontstyle01"/>
        </w:rPr>
        <w:t xml:space="preserve"> bonds, are named as α-, β or γ-</w:t>
      </w:r>
      <w:proofErr w:type="spellStart"/>
      <w:r>
        <w:rPr>
          <w:rStyle w:val="fontstyle01"/>
        </w:rPr>
        <w:t>cyclodextrins</w:t>
      </w:r>
      <w:proofErr w:type="spellEnd"/>
      <w:r>
        <w:rPr>
          <w:rStyle w:val="fontstyle01"/>
        </w:rPr>
        <w:t xml:space="preserve"> (α-, β- or γ-CD), respectively.</w:t>
      </w:r>
    </w:p>
    <w:p w:rsidR="00D56CB8" w:rsidRDefault="00D56CB8" w:rsidP="00CA3907">
      <w:pPr>
        <w:bidi w:val="0"/>
        <w:spacing w:line="360" w:lineRule="auto"/>
        <w:rPr>
          <w:lang w:val="en"/>
        </w:rPr>
      </w:pPr>
      <w:r>
        <w:rPr>
          <w:rStyle w:val="tgc"/>
        </w:rPr>
        <w:t xml:space="preserve">The 1:1 stoichiometry with </w:t>
      </w:r>
      <w:r w:rsidRPr="0018731C">
        <w:rPr>
          <w:rStyle w:val="tgc"/>
        </w:rPr>
        <w:t>A</w:t>
      </w:r>
      <w:r w:rsidRPr="0018731C">
        <w:rPr>
          <w:rStyle w:val="tgc"/>
          <w:vertAlign w:val="subscript"/>
        </w:rPr>
        <w:t>L</w:t>
      </w:r>
      <w:r>
        <w:rPr>
          <w:rStyle w:val="tgc"/>
        </w:rPr>
        <w:t xml:space="preserve"> type solubility has been shown for </w:t>
      </w:r>
      <w:r>
        <w:t>β-C</w:t>
      </w:r>
      <w:r w:rsidRPr="000822B0">
        <w:t>D</w:t>
      </w:r>
      <w:r>
        <w:t>: RA</w:t>
      </w:r>
      <w:r w:rsidRPr="009D2250">
        <w:t xml:space="preserve"> </w:t>
      </w:r>
      <w:r>
        <w:t>inclusion complex</w:t>
      </w:r>
      <w:r w:rsidR="00111690">
        <w:t xml:space="preserve"> (IC)</w:t>
      </w:r>
      <w:r>
        <w:rPr>
          <w:rStyle w:val="tgc"/>
        </w:rPr>
        <w:t xml:space="preserve"> </w:t>
      </w:r>
      <w:r w:rsidRPr="009D2250">
        <w:rPr>
          <w:rStyle w:val="tgc"/>
        </w:rPr>
        <w:t xml:space="preserve">that its formation is enthalpy driven and exothermic, representing the </w:t>
      </w:r>
      <w:r w:rsidRPr="009D2250">
        <w:rPr>
          <w:rStyle w:val="alt-edited"/>
          <w:lang w:val="en"/>
        </w:rPr>
        <w:t xml:space="preserve">predominant role of hydrophobic interaction. </w:t>
      </w:r>
      <w:r>
        <w:rPr>
          <w:rStyle w:val="alt-edited"/>
          <w:lang w:val="en"/>
        </w:rPr>
        <w:t xml:space="preserve">Inside </w:t>
      </w:r>
      <w:r w:rsidRPr="00D31633">
        <w:rPr>
          <w:rStyle w:val="alt-edited"/>
          <w:vertAlign w:val="superscript"/>
          <w:lang w:val="en"/>
        </w:rPr>
        <w:t>1</w:t>
      </w:r>
      <w:r>
        <w:rPr>
          <w:rStyle w:val="alt-edited"/>
          <w:lang w:val="en"/>
        </w:rPr>
        <w:t>H-NMR, FT</w:t>
      </w:r>
      <w:r w:rsidR="00CA3907">
        <w:rPr>
          <w:rStyle w:val="alt-edited"/>
          <w:lang w:val="en"/>
        </w:rPr>
        <w:t>-</w:t>
      </w:r>
      <w:r>
        <w:rPr>
          <w:rStyle w:val="alt-edited"/>
          <w:lang w:val="en"/>
        </w:rPr>
        <w:t xml:space="preserve">IR, SEM, ICD and XRD spectroscopic methods, </w:t>
      </w:r>
      <w:r w:rsidR="00CA3907">
        <w:rPr>
          <w:rStyle w:val="alt-edited"/>
          <w:lang w:val="en"/>
        </w:rPr>
        <w:t xml:space="preserve">molecular docking and </w:t>
      </w:r>
      <w:r>
        <w:rPr>
          <w:rStyle w:val="alt-edited"/>
          <w:lang w:val="en"/>
        </w:rPr>
        <w:t xml:space="preserve">molecular dynamics (MD) calculation were applied for the precise determination of molecular structure and interaction of this complex. The entire insertion of RA into the </w:t>
      </w:r>
      <w:r>
        <w:rPr>
          <w:rStyle w:val="alt-edited"/>
        </w:rPr>
        <w:t>wider</w:t>
      </w:r>
      <w:r>
        <w:rPr>
          <w:rStyle w:val="alt-edited"/>
          <w:lang w:val="en"/>
        </w:rPr>
        <w:t xml:space="preserve"> site of </w:t>
      </w:r>
      <w:r w:rsidRPr="001D403D">
        <w:rPr>
          <w:rStyle w:val="alt-edited"/>
          <w:lang w:val="en"/>
        </w:rPr>
        <w:t>β-CD</w:t>
      </w:r>
      <w:r>
        <w:rPr>
          <w:rStyle w:val="alt-edited"/>
          <w:lang w:val="en"/>
        </w:rPr>
        <w:t xml:space="preserve"> and the present of three H-bonds confirmed the formation of a stable complex. The </w:t>
      </w:r>
      <w:r>
        <w:rPr>
          <w:rStyle w:val="shorttext"/>
        </w:rPr>
        <w:t xml:space="preserve">detailed molecular features of the complex formation including the orientation of RA in the </w:t>
      </w:r>
      <w:proofErr w:type="spellStart"/>
      <w:r>
        <w:rPr>
          <w:rStyle w:val="shorttext"/>
        </w:rPr>
        <w:t>nano</w:t>
      </w:r>
      <w:proofErr w:type="spellEnd"/>
      <w:r>
        <w:rPr>
          <w:rStyle w:val="shorttext"/>
        </w:rPr>
        <w:t xml:space="preserve">-cavities of </w:t>
      </w:r>
      <w:r w:rsidRPr="001D403D">
        <w:rPr>
          <w:rStyle w:val="alt-edited"/>
          <w:lang w:val="en"/>
        </w:rPr>
        <w:t>β-</w:t>
      </w:r>
      <w:r>
        <w:rPr>
          <w:rStyle w:val="shorttext"/>
        </w:rPr>
        <w:t>CD were determined</w:t>
      </w:r>
      <w:r>
        <w:rPr>
          <w:rStyle w:val="shorttext"/>
          <w:rFonts w:cs="B Zar"/>
        </w:rPr>
        <w:t>. The</w:t>
      </w:r>
      <w:r>
        <w:rPr>
          <w:rStyle w:val="shorttext"/>
        </w:rPr>
        <w:t xml:space="preserve"> RMSD, RDF, RMSF, distance and H-bonding analyses </w:t>
      </w:r>
      <w:r>
        <w:rPr>
          <w:rStyle w:val="shorttext"/>
          <w:rFonts w:cs="B Zar"/>
        </w:rPr>
        <w:t xml:space="preserve">represent </w:t>
      </w:r>
      <w:r>
        <w:rPr>
          <w:rStyle w:val="shorttext"/>
          <w:lang w:val="en"/>
        </w:rPr>
        <w:t xml:space="preserve">the presence of </w:t>
      </w:r>
      <w:r>
        <w:rPr>
          <w:rStyle w:val="shorttext"/>
          <w:rFonts w:cs="B Zar"/>
        </w:rPr>
        <w:t xml:space="preserve">three hydrogen bonds in </w:t>
      </w:r>
      <w:r w:rsidRPr="001D403D">
        <w:rPr>
          <w:rStyle w:val="alt-edited"/>
          <w:lang w:val="en"/>
        </w:rPr>
        <w:t>β-CD</w:t>
      </w:r>
      <w:r>
        <w:rPr>
          <w:rStyle w:val="shorttext"/>
        </w:rPr>
        <w:t>: RA inclusion complex</w:t>
      </w:r>
      <w:r>
        <w:rPr>
          <w:rStyle w:val="shorttext"/>
          <w:lang w:val="en"/>
        </w:rPr>
        <w:t xml:space="preserve">. These results indicated that </w:t>
      </w:r>
      <w:r w:rsidRPr="001D403D">
        <w:rPr>
          <w:rStyle w:val="alt-edited"/>
          <w:lang w:val="en"/>
        </w:rPr>
        <w:t>β-CD</w:t>
      </w:r>
      <w:r>
        <w:rPr>
          <w:rStyle w:val="alt-edited"/>
          <w:lang w:val="en"/>
        </w:rPr>
        <w:t xml:space="preserve"> as the best choice for encapsulation of RA and this compound</w:t>
      </w:r>
      <w:r>
        <w:rPr>
          <w:lang w:val="en"/>
        </w:rPr>
        <w:t xml:space="preserve"> could be used in food science, represent the conservation of antioxidant activity and the enhancement of </w:t>
      </w:r>
      <w:r w:rsidRPr="002B187A">
        <w:rPr>
          <w:lang w:val="en"/>
        </w:rPr>
        <w:t>bioavailability</w:t>
      </w:r>
      <w:r>
        <w:rPr>
          <w:lang w:val="en"/>
        </w:rPr>
        <w:t>, solubility and stability o</w:t>
      </w:r>
      <w:r w:rsidR="00BB759D">
        <w:rPr>
          <w:lang w:val="en"/>
        </w:rPr>
        <w:t>f RA in complexation with β-CD.</w:t>
      </w:r>
    </w:p>
    <w:p w:rsidR="008C1045" w:rsidRDefault="008C1045" w:rsidP="008C1045">
      <w:pPr>
        <w:bidi w:val="0"/>
        <w:spacing w:line="360" w:lineRule="auto"/>
        <w:rPr>
          <w:lang w:val="en"/>
        </w:rPr>
      </w:pPr>
    </w:p>
    <w:p w:rsidR="008C1045" w:rsidRPr="008C1045" w:rsidRDefault="008C1045" w:rsidP="008C1045">
      <w:pPr>
        <w:jc w:val="right"/>
        <w:rPr>
          <w:rFonts w:cs="Times New Roman"/>
          <w:color w:val="231F20"/>
          <w:szCs w:val="24"/>
        </w:rPr>
      </w:pPr>
      <w:r>
        <w:rPr>
          <w:lang w:val="en"/>
        </w:rPr>
        <w:t>K</w:t>
      </w:r>
      <w:r w:rsidRPr="008C1045">
        <w:rPr>
          <w:lang w:val="en"/>
        </w:rPr>
        <w:t xml:space="preserve">eywords: </w:t>
      </w:r>
      <w:r w:rsidRPr="008C1045">
        <w:rPr>
          <w:szCs w:val="24"/>
        </w:rPr>
        <w:t>β-</w:t>
      </w:r>
      <w:proofErr w:type="spellStart"/>
      <w:r w:rsidRPr="008C1045">
        <w:rPr>
          <w:rFonts w:cs="Times New Roman"/>
          <w:color w:val="231F20"/>
          <w:szCs w:val="24"/>
        </w:rPr>
        <w:t>cyclodextrin</w:t>
      </w:r>
      <w:proofErr w:type="spellEnd"/>
      <w:r w:rsidRPr="008C1045">
        <w:rPr>
          <w:rFonts w:cs="Times New Roman"/>
          <w:color w:val="231F20"/>
          <w:szCs w:val="24"/>
        </w:rPr>
        <w:t xml:space="preserve">- </w:t>
      </w:r>
      <w:proofErr w:type="spellStart"/>
      <w:r w:rsidRPr="008C1045">
        <w:rPr>
          <w:rFonts w:cs="Times New Roman"/>
          <w:color w:val="231F20"/>
          <w:szCs w:val="24"/>
        </w:rPr>
        <w:t>Rosmarinic</w:t>
      </w:r>
      <w:proofErr w:type="spellEnd"/>
      <w:r w:rsidRPr="008C1045">
        <w:rPr>
          <w:rFonts w:cs="Times New Roman"/>
          <w:color w:val="231F20"/>
          <w:szCs w:val="24"/>
        </w:rPr>
        <w:t xml:space="preserve"> acid- </w:t>
      </w:r>
      <w:r w:rsidRPr="008C1045">
        <w:rPr>
          <w:rStyle w:val="alt-edited"/>
          <w:lang w:val="en"/>
        </w:rPr>
        <w:t>Molecular dynamics</w:t>
      </w:r>
      <w:r>
        <w:rPr>
          <w:rStyle w:val="alt-edited"/>
          <w:lang w:val="en"/>
        </w:rPr>
        <w:t>- Charactrization</w:t>
      </w:r>
    </w:p>
    <w:p w:rsidR="008C1045" w:rsidRDefault="008C1045" w:rsidP="008C1045">
      <w:pPr>
        <w:bidi w:val="0"/>
        <w:spacing w:line="360" w:lineRule="auto"/>
        <w:rPr>
          <w:rStyle w:val="shorttext"/>
          <w:lang w:val="en"/>
        </w:rPr>
      </w:pPr>
    </w:p>
    <w:sectPr w:rsidR="008C1045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14AF" w:rsidRDefault="00D114AF" w:rsidP="008E3F26">
      <w:r>
        <w:separator/>
      </w:r>
    </w:p>
  </w:endnote>
  <w:endnote w:type="continuationSeparator" w:id="0">
    <w:p w:rsidR="00D114AF" w:rsidRDefault="00D114AF" w:rsidP="008E3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50305040509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Simplified Arabic Fixed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3F26" w:rsidRDefault="008E3F2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B3E8F">
      <w:rPr>
        <w:noProof/>
      </w:rPr>
      <w:t>1</w:t>
    </w:r>
    <w:r>
      <w:rPr>
        <w:noProof/>
      </w:rPr>
      <w:fldChar w:fldCharType="end"/>
    </w:r>
  </w:p>
  <w:p w:rsidR="008E3F26" w:rsidRDefault="008E3F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14AF" w:rsidRDefault="00D114AF" w:rsidP="008E3F26">
      <w:r>
        <w:separator/>
      </w:r>
    </w:p>
  </w:footnote>
  <w:footnote w:type="continuationSeparator" w:id="0">
    <w:p w:rsidR="00D114AF" w:rsidRDefault="00D114AF" w:rsidP="008E3F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Y0NrY0MTQxMTQyNTVS0lEKTi0uzszPAykwrAUArFZhIiwAAAA="/>
  </w:docVars>
  <w:rsids>
    <w:rsidRoot w:val="00421E76"/>
    <w:rsid w:val="00111690"/>
    <w:rsid w:val="001B062D"/>
    <w:rsid w:val="002B187A"/>
    <w:rsid w:val="00421E76"/>
    <w:rsid w:val="004E4EFC"/>
    <w:rsid w:val="00603B7E"/>
    <w:rsid w:val="00631DC7"/>
    <w:rsid w:val="007A1F3E"/>
    <w:rsid w:val="008C1045"/>
    <w:rsid w:val="008E127E"/>
    <w:rsid w:val="008E3F26"/>
    <w:rsid w:val="00BB3E8F"/>
    <w:rsid w:val="00BB759D"/>
    <w:rsid w:val="00CA3907"/>
    <w:rsid w:val="00CB4A2C"/>
    <w:rsid w:val="00D114AF"/>
    <w:rsid w:val="00D56CB8"/>
    <w:rsid w:val="00D92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9C424E-C198-444B-84CC-2720E7D4E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27E"/>
    <w:pPr>
      <w:bidi/>
      <w:spacing w:after="0" w:line="240" w:lineRule="auto"/>
      <w:jc w:val="both"/>
    </w:pPr>
    <w:rPr>
      <w:rFonts w:ascii="Times New Roman" w:eastAsia="Calibri" w:hAnsi="Times New Roman" w:cs="B Nazanin"/>
      <w:sz w:val="24"/>
      <w:szCs w:val="28"/>
    </w:rPr>
  </w:style>
  <w:style w:type="paragraph" w:styleId="Heading2">
    <w:name w:val="heading 2"/>
    <w:basedOn w:val="Normal"/>
    <w:next w:val="Normal"/>
    <w:link w:val="Heading2Char"/>
    <w:qFormat/>
    <w:rsid w:val="00421E76"/>
    <w:pPr>
      <w:keepNext/>
      <w:outlineLvl w:val="1"/>
    </w:pPr>
    <w:rPr>
      <w:rFonts w:eastAsia="Times New Roman" w:cs="Zar"/>
      <w:b/>
      <w:bCs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21E76"/>
    <w:rPr>
      <w:rFonts w:ascii="Times New Roman" w:eastAsia="Times New Roman" w:hAnsi="Times New Roman" w:cs="Zar"/>
      <w:b/>
      <w:bCs/>
      <w:sz w:val="24"/>
      <w:szCs w:val="24"/>
      <w:lang w:bidi="fa-IR"/>
    </w:rPr>
  </w:style>
  <w:style w:type="character" w:customStyle="1" w:styleId="shorttext">
    <w:name w:val="short_text"/>
    <w:rsid w:val="00421E76"/>
  </w:style>
  <w:style w:type="character" w:customStyle="1" w:styleId="alt-edited">
    <w:name w:val="alt-edited"/>
    <w:basedOn w:val="DefaultParagraphFont"/>
    <w:rsid w:val="00421E76"/>
  </w:style>
  <w:style w:type="character" w:customStyle="1" w:styleId="tgc">
    <w:name w:val="_tgc"/>
    <w:rsid w:val="00421E76"/>
  </w:style>
  <w:style w:type="paragraph" w:styleId="FootnoteText">
    <w:name w:val="footnote text"/>
    <w:basedOn w:val="Normal"/>
    <w:link w:val="FootnoteTextChar"/>
    <w:uiPriority w:val="99"/>
    <w:semiHidden/>
    <w:unhideWhenUsed/>
    <w:rsid w:val="008E3F26"/>
    <w:pPr>
      <w:bidi w:val="0"/>
      <w:spacing w:line="480" w:lineRule="auto"/>
    </w:pPr>
    <w:rPr>
      <w:rFonts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E3F26"/>
    <w:rPr>
      <w:rFonts w:ascii="Times New Roman" w:eastAsia="Calibri" w:hAnsi="Times New Roman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8E3F26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E3F26"/>
    <w:pPr>
      <w:tabs>
        <w:tab w:val="center" w:pos="4680"/>
        <w:tab w:val="right" w:pos="9360"/>
      </w:tabs>
      <w:bidi w:val="0"/>
      <w:spacing w:line="480" w:lineRule="auto"/>
    </w:pPr>
    <w:rPr>
      <w:rFonts w:cs="Arial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8E3F26"/>
    <w:rPr>
      <w:rFonts w:ascii="Times New Roman" w:eastAsia="Calibri" w:hAnsi="Times New Roman" w:cs="Arial"/>
      <w:sz w:val="24"/>
    </w:rPr>
  </w:style>
  <w:style w:type="character" w:styleId="Hyperlink">
    <w:name w:val="Hyperlink"/>
    <w:uiPriority w:val="99"/>
    <w:unhideWhenUsed/>
    <w:rsid w:val="008E3F26"/>
    <w:rPr>
      <w:color w:val="0563C1"/>
      <w:u w:val="single"/>
    </w:rPr>
  </w:style>
  <w:style w:type="character" w:customStyle="1" w:styleId="fontstyle01">
    <w:name w:val="fontstyle01"/>
    <w:basedOn w:val="DefaultParagraphFont"/>
    <w:rsid w:val="008E3F2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opic-highlight">
    <w:name w:val="topic-highlight"/>
    <w:basedOn w:val="DefaultParagraphFont"/>
    <w:rsid w:val="00111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Fateminasab</dc:creator>
  <cp:keywords/>
  <dc:description/>
  <cp:lastModifiedBy>Fateminasab</cp:lastModifiedBy>
  <cp:revision>4</cp:revision>
  <dcterms:created xsi:type="dcterms:W3CDTF">2018-08-14T10:50:00Z</dcterms:created>
  <dcterms:modified xsi:type="dcterms:W3CDTF">2019-03-03T08:50:00Z</dcterms:modified>
</cp:coreProperties>
</file>